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0" w:firstLine="0"/>
        <w:jc w:val="center"/>
        <w:rPr>
          <w:rFonts w:eastAsia="Times New Roman" w:cs="Calibri"/>
          <w:b/>
          <w:sz w:val="32"/>
          <w:szCs w:val="32"/>
          <w:u w:val="single"/>
          <w:lang w:eastAsia="fr-FR"/>
        </w:rPr>
      </w:pPr>
      <w:r>
        <w:rPr>
          <w:rFonts w:eastAsia="Times New Roman" w:cs="Calibri"/>
          <w:b/>
          <w:sz w:val="32"/>
          <w:szCs w:val="32"/>
          <w:u w:val="single"/>
          <w:lang w:eastAsia="fr-FR"/>
        </w:rPr>
        <w:t>Comité d’accompagnement du CTA</w:t>
      </w:r>
    </w:p>
    <w:p>
      <w:pPr>
        <w:ind w:left="0" w:firstLine="0"/>
        <w:jc w:val="center"/>
        <w:rPr>
          <w:rFonts w:eastAsia="Times New Roman" w:cs="Calibri"/>
          <w:b/>
          <w:sz w:val="32"/>
          <w:szCs w:val="32"/>
          <w:u w:val="single"/>
          <w:lang w:eastAsia="fr-FR"/>
        </w:rPr>
      </w:pPr>
      <w:r>
        <w:rPr>
          <w:rFonts w:eastAsia="Times New Roman" w:cs="Calibri"/>
          <w:b/>
          <w:sz w:val="32"/>
          <w:szCs w:val="32"/>
          <w:u w:val="single"/>
          <w:lang w:eastAsia="fr-FR"/>
        </w:rPr>
        <w:t>Règlement d’ordre intérieur</w:t>
      </w:r>
    </w:p>
    <w:p>
      <w:pPr>
        <w:spacing w:before="240" w:after="240"/>
        <w:ind w:left="0" w:firstLine="0"/>
        <w:rPr>
          <w:rFonts w:eastAsia="Times New Roman" w:cs="Calibri"/>
          <w:b/>
          <w:sz w:val="24"/>
          <w:szCs w:val="24"/>
          <w:lang w:eastAsia="fr-FR"/>
        </w:rPr>
      </w:pPr>
      <w:r>
        <w:rPr>
          <w:rFonts w:eastAsia="Times New Roman" w:cs="Calibri"/>
          <w:b/>
          <w:sz w:val="24"/>
          <w:szCs w:val="24"/>
          <w:lang w:eastAsia="fr-FR"/>
        </w:rPr>
        <w:t>Section 1</w:t>
      </w:r>
      <w:r>
        <w:rPr>
          <w:rFonts w:eastAsia="Times New Roman" w:cs="Calibri"/>
          <w:b/>
          <w:sz w:val="24"/>
          <w:szCs w:val="24"/>
          <w:vertAlign w:val="superscript"/>
          <w:lang w:eastAsia="fr-FR"/>
        </w:rPr>
        <w:t>ère</w:t>
      </w:r>
      <w:r>
        <w:rPr>
          <w:rFonts w:eastAsia="Times New Roman" w:cs="Calibri"/>
          <w:b/>
          <w:sz w:val="24"/>
          <w:szCs w:val="24"/>
          <w:lang w:eastAsia="fr-FR"/>
        </w:rPr>
        <w:t xml:space="preserve"> – Dispositions générales</w:t>
      </w:r>
    </w:p>
    <w:p>
      <w:pPr>
        <w:ind w:left="0" w:firstLine="0"/>
        <w:rPr>
          <w:rFonts w:eastAsia="Times New Roman" w:cs="Calibri"/>
          <w:sz w:val="20"/>
          <w:szCs w:val="20"/>
          <w:lang w:eastAsia="fr-FR"/>
        </w:rPr>
      </w:pPr>
      <w:r>
        <w:rPr>
          <w:rFonts w:eastAsia="Times New Roman" w:cs="Calibri"/>
          <w:b/>
          <w:sz w:val="20"/>
          <w:szCs w:val="20"/>
          <w:lang w:eastAsia="fr-FR"/>
        </w:rPr>
        <w:t>Article 1</w:t>
      </w:r>
      <w:r>
        <w:rPr>
          <w:rFonts w:eastAsia="Times New Roman" w:cs="Calibri"/>
          <w:b/>
          <w:sz w:val="20"/>
          <w:szCs w:val="20"/>
          <w:vertAlign w:val="superscript"/>
          <w:lang w:eastAsia="fr-FR"/>
        </w:rPr>
        <w:t>er</w:t>
      </w:r>
      <w:r>
        <w:rPr>
          <w:rFonts w:eastAsia="Times New Roman" w:cs="Calibri"/>
          <w:sz w:val="20"/>
          <w:szCs w:val="20"/>
          <w:lang w:eastAsia="fr-FR"/>
        </w:rPr>
        <w:t xml:space="preserve"> – Les activités du Comité d’accompagnement sont régies par le présent règlement d’ordre intérieur.</w:t>
      </w:r>
    </w:p>
    <w:p>
      <w:pPr>
        <w:ind w:left="0" w:firstLine="0"/>
        <w:rPr>
          <w:rFonts w:eastAsia="Times New Roman" w:cs="Calibri"/>
          <w:sz w:val="20"/>
          <w:szCs w:val="20"/>
          <w:lang w:eastAsia="fr-FR"/>
        </w:rPr>
      </w:pPr>
      <w:r>
        <w:rPr>
          <w:rFonts w:eastAsia="Times New Roman" w:cs="Calibri"/>
          <w:b/>
          <w:sz w:val="20"/>
          <w:szCs w:val="20"/>
          <w:lang w:eastAsia="fr-FR"/>
        </w:rPr>
        <w:t>Article 2</w:t>
      </w:r>
      <w:r>
        <w:rPr>
          <w:rFonts w:eastAsia="Times New Roman" w:cs="Calibri"/>
          <w:sz w:val="20"/>
          <w:szCs w:val="20"/>
          <w:lang w:eastAsia="fr-FR"/>
        </w:rPr>
        <w:t xml:space="preserve"> – Le but poursuivi par le Comité est d’assurer la mise en œuvre et le bon fonctionnement du CTA.</w:t>
      </w:r>
    </w:p>
    <w:p>
      <w:pPr>
        <w:ind w:left="0" w:firstLine="0"/>
        <w:rPr>
          <w:rFonts w:eastAsia="Times New Roman" w:cs="Calibri"/>
          <w:sz w:val="20"/>
          <w:szCs w:val="20"/>
          <w:lang w:eastAsia="fr-FR"/>
        </w:rPr>
      </w:pPr>
      <w:r>
        <w:rPr>
          <w:rFonts w:eastAsia="Times New Roman" w:cs="Calibri"/>
          <w:b/>
          <w:sz w:val="20"/>
          <w:szCs w:val="20"/>
          <w:lang w:eastAsia="fr-FR"/>
        </w:rPr>
        <w:t>Article 3</w:t>
      </w:r>
      <w:r>
        <w:rPr>
          <w:rFonts w:eastAsia="Times New Roman" w:cs="Calibri"/>
          <w:sz w:val="20"/>
          <w:szCs w:val="20"/>
          <w:lang w:eastAsia="fr-FR"/>
        </w:rPr>
        <w:t xml:space="preserve"> – Le Comité est institué à l’initiative du chef de l’établissement qui accueille le CTA en concertation avec la Direction générale de l’enseignement obligatoire. Il doit avoir été réuni au moins une fois avant les premières dépenses en équipement réalisées par la CTA.</w:t>
      </w:r>
    </w:p>
    <w:p>
      <w:pPr>
        <w:ind w:left="0" w:firstLine="0"/>
        <w:rPr>
          <w:rFonts w:eastAsia="Times New Roman" w:cs="Calibri"/>
          <w:sz w:val="20"/>
          <w:szCs w:val="20"/>
          <w:lang w:eastAsia="fr-FR"/>
        </w:rPr>
      </w:pPr>
      <w:r>
        <w:rPr>
          <w:rFonts w:eastAsia="Times New Roman" w:cs="Calibri"/>
          <w:b/>
          <w:sz w:val="20"/>
          <w:szCs w:val="20"/>
          <w:lang w:eastAsia="fr-FR"/>
        </w:rPr>
        <w:t>Article 4</w:t>
      </w:r>
      <w:r>
        <w:rPr>
          <w:rFonts w:eastAsia="Times New Roman" w:cs="Calibri"/>
          <w:sz w:val="20"/>
          <w:szCs w:val="20"/>
          <w:lang w:eastAsia="fr-FR"/>
        </w:rPr>
        <w:t xml:space="preserve"> – Les membres du Comité d’accompagnement sont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chef de l’établissement qui accueille le CTA. Celui-ci en assure la présidence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du pouvoir organisateur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du Conseil de zone confessionnel concerné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du Conseil de zone non-confessionnel concerné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de la Direction générale de l’enseignement obligatoire du Ministère de la Fédération Wallonie-Bruxelles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du Service général de l’Inspection du Ministère de la Fédération Wallonie-Bruxelles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coordonnateur du CTA, qui assure le secrétariat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du Ministre ayant l’enseignement obligatoire dans ses attributions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de la Chambre Emploi-Formation du Bassin EFE concerné;</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Le(s) représentant(s) du ou des secteurs professionnels concernés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du FOREM ou de Bruxelles-Formation selon la Région concernée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 représentant du ou des CDC et/ou CDR concernés.</w:t>
      </w:r>
    </w:p>
    <w:p>
      <w:pPr>
        <w:ind w:left="0" w:firstLine="0"/>
        <w:rPr>
          <w:rFonts w:eastAsia="Times New Roman" w:cs="Calibri"/>
          <w:sz w:val="20"/>
          <w:szCs w:val="20"/>
          <w:lang w:eastAsia="fr-FR"/>
        </w:rPr>
      </w:pPr>
      <w:r>
        <w:rPr>
          <w:rFonts w:eastAsia="Times New Roman" w:cs="Calibri"/>
          <w:sz w:val="20"/>
          <w:szCs w:val="20"/>
          <w:lang w:eastAsia="fr-FR"/>
        </w:rPr>
        <w:t>Chaque membre repris ci-dessus dispose d’une voix délibérative.</w:t>
      </w:r>
    </w:p>
    <w:p>
      <w:pPr>
        <w:ind w:left="0" w:firstLine="0"/>
        <w:rPr>
          <w:rFonts w:eastAsia="Times New Roman" w:cs="Calibri"/>
          <w:sz w:val="20"/>
          <w:szCs w:val="20"/>
          <w:lang w:eastAsia="fr-FR"/>
        </w:rPr>
      </w:pPr>
      <w:r>
        <w:rPr>
          <w:rFonts w:eastAsia="Times New Roman" w:cs="Calibri"/>
          <w:b/>
          <w:sz w:val="20"/>
          <w:szCs w:val="20"/>
          <w:lang w:eastAsia="fr-FR"/>
        </w:rPr>
        <w:t>Article 5</w:t>
      </w:r>
      <w:r>
        <w:rPr>
          <w:rFonts w:eastAsia="Times New Roman" w:cs="Calibri"/>
          <w:sz w:val="20"/>
          <w:szCs w:val="20"/>
          <w:lang w:eastAsia="fr-FR"/>
        </w:rPr>
        <w:t xml:space="preserve"> – Outre les membres décrits ci-dessus, le président peut inviter à participer aux réunions toute personne dont il estime l’avis nécessaire et pertinent.</w:t>
      </w:r>
    </w:p>
    <w:p>
      <w:pPr>
        <w:ind w:left="0" w:firstLine="0"/>
        <w:rPr>
          <w:rFonts w:eastAsia="Times New Roman" w:cs="Calibri"/>
          <w:sz w:val="20"/>
          <w:szCs w:val="20"/>
          <w:lang w:eastAsia="fr-FR"/>
        </w:rPr>
      </w:pPr>
      <w:r>
        <w:rPr>
          <w:rFonts w:eastAsia="Times New Roman" w:cs="Calibri"/>
          <w:sz w:val="20"/>
          <w:szCs w:val="20"/>
          <w:lang w:eastAsia="fr-FR"/>
        </w:rPr>
        <w:t>Ainsi, les formateurs attachés aux CTA étant financés par le Fonds social européen via les opérateurs de formation continue Formation en cours de carrière des enseignants du secondaire de l’enseignement non confessionnel (FCC) et Association pour la promotion de la formation en cours de carrière dans l’enseignement confessionnel (FORCAR), un représentant de l’association concernée peut être invité à participer aux réunions du comité.</w:t>
      </w:r>
    </w:p>
    <w:p>
      <w:pPr>
        <w:ind w:left="0" w:firstLine="0"/>
        <w:rPr>
          <w:rFonts w:eastAsia="Times New Roman" w:cs="Calibri"/>
          <w:sz w:val="20"/>
          <w:szCs w:val="20"/>
          <w:lang w:eastAsia="fr-FR"/>
        </w:rPr>
      </w:pPr>
      <w:r>
        <w:rPr>
          <w:rFonts w:eastAsia="Times New Roman" w:cs="Calibri"/>
          <w:sz w:val="20"/>
          <w:szCs w:val="20"/>
          <w:lang w:eastAsia="fr-FR"/>
        </w:rPr>
        <w:t>Le Comité peut également convoquer des experts à la réunion pour autant qu’il estime que l’expertise de ces spécialistes peut apporter une plus-value à la discussion.</w:t>
      </w:r>
    </w:p>
    <w:p>
      <w:pPr>
        <w:ind w:left="0" w:firstLine="0"/>
        <w:rPr>
          <w:rFonts w:eastAsia="Times New Roman" w:cs="Calibri"/>
          <w:sz w:val="20"/>
          <w:szCs w:val="20"/>
          <w:lang w:eastAsia="fr-FR"/>
        </w:rPr>
      </w:pPr>
      <w:r>
        <w:rPr>
          <w:rFonts w:eastAsia="Times New Roman" w:cs="Calibri"/>
          <w:b/>
          <w:sz w:val="20"/>
          <w:szCs w:val="20"/>
          <w:lang w:eastAsia="fr-FR"/>
        </w:rPr>
        <w:t>Article 6</w:t>
      </w:r>
      <w:r>
        <w:rPr>
          <w:rFonts w:eastAsia="Times New Roman" w:cs="Calibri"/>
          <w:sz w:val="20"/>
          <w:szCs w:val="20"/>
          <w:lang w:eastAsia="fr-FR"/>
        </w:rPr>
        <w:t xml:space="preserve"> – Le Comité a pour tâche principale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d’approuver le rapport d’activités annuel du centre</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d’adopter le règlement d’ordre intérieur du CTA</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de respecter les critères d’éligibilité et de priorité des CTA tels que fixés à l’article 5 du Décret de la Communauté française du 11 avril 2014 garantissant l’équipement pédagogique de l’enseignement qualifiant et fixant l’organisation des Centres de technologies Avancées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de veiller au respect des objectifs définis à l’article 6, § 2 et 3 du décret du 11 avril 2014 en terme de nombre d’heures de formation à dispenser, de nombre d’étudiants, d’enseignants, de travailleurs et de demandeurs d’emploi à accueillir, etc.</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d’évaluer les progrès réalisés afin d’atteindre les objectifs fixés et l’examen des résultats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d’analyser et d’approuver les rapports annuels d’activités à transmettre à la Direction générale de l’enseignement obligatoire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dans le cadre du cahier des charges approuvé par la Gouvernement de la Communauté française, de se concerter sur les équipements pédagogiques à acquérir par le CTA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de se concerter sur le programme de formation proposé par le CTA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lastRenderedPageBreak/>
        <w:t>de se prononcer sur la gestion financière du CTA et sur les dépenses envisagées (achat de consommables, frais de maintenance, travaux, etc.)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d’organiser et de gérer la collaboration entre le CTA et les Centres de compétences ou de référence professionnelle associés (en terme de formation, de veille sur les métiers, d’action de sensibilisation au secteur, etc.)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d’identifier et de résoudre tout problème éventuel apparaissant dans la gestion du centre.</w:t>
      </w:r>
    </w:p>
    <w:p>
      <w:pPr>
        <w:spacing w:before="240" w:after="240"/>
        <w:ind w:left="0" w:firstLine="0"/>
        <w:rPr>
          <w:rFonts w:eastAsia="Times New Roman" w:cs="Calibri"/>
          <w:b/>
          <w:sz w:val="24"/>
          <w:szCs w:val="24"/>
          <w:lang w:eastAsia="fr-FR"/>
        </w:rPr>
      </w:pPr>
      <w:r>
        <w:rPr>
          <w:rFonts w:eastAsia="Times New Roman" w:cs="Calibri"/>
          <w:b/>
          <w:sz w:val="24"/>
          <w:szCs w:val="24"/>
          <w:lang w:eastAsia="fr-FR"/>
        </w:rPr>
        <w:t>Section 2 – Présidence du Comité</w:t>
      </w:r>
    </w:p>
    <w:p>
      <w:pPr>
        <w:ind w:left="0" w:firstLine="0"/>
        <w:rPr>
          <w:rFonts w:eastAsia="Times New Roman" w:cs="Calibri"/>
          <w:sz w:val="20"/>
          <w:szCs w:val="20"/>
          <w:lang w:eastAsia="fr-FR"/>
        </w:rPr>
      </w:pPr>
      <w:r>
        <w:rPr>
          <w:rFonts w:eastAsia="Times New Roman" w:cs="Calibri"/>
          <w:b/>
          <w:sz w:val="20"/>
          <w:szCs w:val="20"/>
          <w:lang w:eastAsia="fr-FR"/>
        </w:rPr>
        <w:t>Article 8</w:t>
      </w:r>
      <w:r>
        <w:rPr>
          <w:rFonts w:eastAsia="Times New Roman" w:cs="Calibri"/>
          <w:sz w:val="20"/>
          <w:szCs w:val="20"/>
          <w:lang w:eastAsia="fr-FR"/>
        </w:rPr>
        <w:t xml:space="preserve"> – Le Comité est présidé par le chef de l’établissement qui accueille le CTA.</w:t>
      </w:r>
    </w:p>
    <w:p>
      <w:pPr>
        <w:ind w:left="0" w:firstLine="0"/>
        <w:rPr>
          <w:rFonts w:eastAsia="Times New Roman" w:cs="Calibri"/>
          <w:sz w:val="20"/>
          <w:szCs w:val="20"/>
          <w:lang w:eastAsia="fr-FR"/>
        </w:rPr>
      </w:pPr>
      <w:r>
        <w:rPr>
          <w:rFonts w:eastAsia="Times New Roman" w:cs="Calibri"/>
          <w:b/>
          <w:sz w:val="20"/>
          <w:szCs w:val="20"/>
          <w:lang w:eastAsia="fr-FR"/>
        </w:rPr>
        <w:t>Article 9</w:t>
      </w:r>
      <w:r>
        <w:rPr>
          <w:rFonts w:eastAsia="Times New Roman" w:cs="Calibri"/>
          <w:sz w:val="20"/>
          <w:szCs w:val="20"/>
          <w:lang w:eastAsia="fr-FR"/>
        </w:rPr>
        <w:t xml:space="preserve"> – Le président, assisté par le coordonnateur du CTA, assume les tâches suivantes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Proposition du règlement d’ordre intérieur lors de la première réunion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Préparation de l’ordre du jour des réunions du Comité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Convocation des réunions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Ouverture et clôture des réunions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Elaboration du rapport d’activités de l’année écoulée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Présentation de ce rapport au Comité pour approbation et communication à la Direction générale de l’enseignement obligatoire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Rédaction des procès-verbaux des réunions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Transmission à tous les membres du Comité du procès-verbal et, le cas échéant, du rapport d’activités modifié dans les 15 jours ouvrables qui suivent la tenue du Comité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Organisation d’une ou plusieurs réunions supplémentaires dans l’année si nécessaire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Police des réunions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Elaboration des propositions d’investissement en équipements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Archivage de tous les documents relatifs au Comité.</w:t>
      </w:r>
    </w:p>
    <w:p>
      <w:pPr>
        <w:ind w:left="0" w:firstLine="0"/>
        <w:rPr>
          <w:rFonts w:eastAsia="Times New Roman" w:cs="Calibri"/>
          <w:sz w:val="20"/>
          <w:szCs w:val="20"/>
          <w:lang w:eastAsia="fr-FR"/>
        </w:rPr>
      </w:pPr>
      <w:r>
        <w:rPr>
          <w:rFonts w:eastAsia="Times New Roman" w:cs="Calibri"/>
          <w:b/>
          <w:sz w:val="20"/>
          <w:szCs w:val="20"/>
          <w:lang w:eastAsia="fr-FR"/>
        </w:rPr>
        <w:t>Article 10</w:t>
      </w:r>
      <w:r>
        <w:rPr>
          <w:rFonts w:eastAsia="Times New Roman" w:cs="Calibri"/>
          <w:sz w:val="20"/>
          <w:szCs w:val="20"/>
          <w:lang w:eastAsia="fr-FR"/>
        </w:rPr>
        <w:t xml:space="preserve"> – En cas d’empêchement du président, celui-ci mandate un suppléant devant remplir toutes les tâches et missions dévolues au président, telles que décrites dans la section 2 du présent règlement d’ordre intérieur.</w:t>
      </w:r>
    </w:p>
    <w:p>
      <w:pPr>
        <w:spacing w:before="240" w:after="240"/>
        <w:ind w:left="0" w:firstLine="0"/>
        <w:rPr>
          <w:rFonts w:eastAsia="Times New Roman" w:cs="Calibri"/>
          <w:b/>
          <w:sz w:val="24"/>
          <w:szCs w:val="24"/>
          <w:lang w:eastAsia="fr-FR"/>
        </w:rPr>
      </w:pPr>
      <w:r>
        <w:rPr>
          <w:rFonts w:eastAsia="Times New Roman" w:cs="Calibri"/>
          <w:b/>
          <w:sz w:val="24"/>
          <w:szCs w:val="24"/>
          <w:lang w:eastAsia="fr-FR"/>
        </w:rPr>
        <w:t>Section 3 – Réunions du Comité</w:t>
      </w:r>
    </w:p>
    <w:p>
      <w:pPr>
        <w:ind w:left="0" w:firstLine="0"/>
        <w:rPr>
          <w:rFonts w:eastAsia="Times New Roman" w:cs="Calibri"/>
          <w:sz w:val="20"/>
          <w:szCs w:val="20"/>
          <w:lang w:eastAsia="fr-FR"/>
        </w:rPr>
      </w:pPr>
      <w:r>
        <w:rPr>
          <w:rFonts w:eastAsia="Times New Roman" w:cs="Calibri"/>
          <w:b/>
          <w:sz w:val="20"/>
          <w:szCs w:val="20"/>
          <w:lang w:eastAsia="fr-FR"/>
        </w:rPr>
        <w:t>Article 11</w:t>
      </w:r>
      <w:r>
        <w:rPr>
          <w:rFonts w:eastAsia="Times New Roman" w:cs="Calibri"/>
          <w:sz w:val="20"/>
          <w:szCs w:val="20"/>
          <w:lang w:eastAsia="fr-FR"/>
        </w:rPr>
        <w:t xml:space="preserve"> – Le Comité se réunit au moins deux fois par an.</w:t>
      </w:r>
    </w:p>
    <w:p>
      <w:pPr>
        <w:ind w:left="0" w:firstLine="0"/>
        <w:rPr>
          <w:rFonts w:eastAsia="Times New Roman" w:cs="Calibri"/>
          <w:sz w:val="20"/>
          <w:szCs w:val="20"/>
          <w:lang w:eastAsia="fr-FR"/>
        </w:rPr>
      </w:pPr>
      <w:r>
        <w:rPr>
          <w:rFonts w:eastAsia="Times New Roman" w:cs="Calibri"/>
          <w:b/>
          <w:sz w:val="20"/>
          <w:szCs w:val="20"/>
          <w:lang w:eastAsia="fr-FR"/>
        </w:rPr>
        <w:t>Article 12</w:t>
      </w:r>
      <w:r>
        <w:rPr>
          <w:rFonts w:eastAsia="Times New Roman" w:cs="Calibri"/>
          <w:sz w:val="20"/>
          <w:szCs w:val="20"/>
          <w:lang w:eastAsia="fr-FR"/>
        </w:rPr>
        <w:t xml:space="preserve"> – La date et le lieu de réunion du Comité sont laissé à l’initiative du président.</w:t>
      </w:r>
    </w:p>
    <w:p>
      <w:pPr>
        <w:ind w:left="0" w:firstLine="0"/>
        <w:rPr>
          <w:rFonts w:eastAsia="Times New Roman" w:cs="Calibri"/>
          <w:sz w:val="20"/>
          <w:szCs w:val="20"/>
          <w:lang w:eastAsia="fr-FR"/>
        </w:rPr>
      </w:pPr>
      <w:r>
        <w:rPr>
          <w:rFonts w:eastAsia="Times New Roman" w:cs="Calibri"/>
          <w:b/>
          <w:sz w:val="20"/>
          <w:szCs w:val="20"/>
          <w:lang w:eastAsia="fr-FR"/>
        </w:rPr>
        <w:t>Article 13</w:t>
      </w:r>
      <w:r>
        <w:rPr>
          <w:rFonts w:eastAsia="Times New Roman" w:cs="Calibri"/>
          <w:sz w:val="20"/>
          <w:szCs w:val="20"/>
          <w:lang w:eastAsia="fr-FR"/>
        </w:rPr>
        <w:t xml:space="preserve"> – Toutes les réunions sont convoquées et l’ordre du jour communiqué au moins 15 jours à l’avance par courrier électronique. Outre l’ordre du jour, la convocation contient obligatoirement la date et le lieu de la réunion ainsi que les documents nécessaires au déroulement de la réunion.</w:t>
      </w:r>
    </w:p>
    <w:p>
      <w:pPr>
        <w:ind w:left="0" w:firstLine="0"/>
        <w:rPr>
          <w:rFonts w:eastAsia="Times New Roman" w:cs="Calibri"/>
          <w:sz w:val="20"/>
          <w:szCs w:val="20"/>
          <w:lang w:eastAsia="fr-FR"/>
        </w:rPr>
      </w:pPr>
      <w:r>
        <w:rPr>
          <w:rFonts w:eastAsia="Times New Roman" w:cs="Calibri"/>
          <w:b/>
          <w:sz w:val="20"/>
          <w:szCs w:val="20"/>
          <w:lang w:eastAsia="fr-FR"/>
        </w:rPr>
        <w:t>Article 14</w:t>
      </w:r>
      <w:r>
        <w:rPr>
          <w:rFonts w:eastAsia="Times New Roman" w:cs="Calibri"/>
          <w:sz w:val="20"/>
          <w:szCs w:val="20"/>
          <w:lang w:eastAsia="fr-FR"/>
        </w:rPr>
        <w:t xml:space="preserve"> – Tout membre du Comité qui ne peut assister à la réunion doit en informer immédiatement le président et son secrétariat.</w:t>
      </w:r>
    </w:p>
    <w:p>
      <w:pPr>
        <w:ind w:left="0" w:firstLine="0"/>
        <w:rPr>
          <w:rFonts w:eastAsia="Times New Roman" w:cs="Calibri"/>
          <w:sz w:val="20"/>
          <w:szCs w:val="20"/>
          <w:lang w:eastAsia="fr-FR"/>
        </w:rPr>
      </w:pPr>
      <w:r>
        <w:rPr>
          <w:rFonts w:eastAsia="Times New Roman" w:cs="Calibri"/>
          <w:b/>
          <w:sz w:val="20"/>
          <w:szCs w:val="20"/>
          <w:lang w:eastAsia="fr-FR"/>
        </w:rPr>
        <w:t>Article 15</w:t>
      </w:r>
      <w:r>
        <w:rPr>
          <w:rFonts w:eastAsia="Times New Roman" w:cs="Calibri"/>
          <w:sz w:val="20"/>
          <w:szCs w:val="20"/>
          <w:lang w:eastAsia="fr-FR"/>
        </w:rPr>
        <w:t xml:space="preserve"> – Chacun des membres peut solliciter auprès du président l’insertion d’un point à l’ordre du jour, au minimum 15 jours ouvrables avant la date de la réunion.</w:t>
      </w:r>
    </w:p>
    <w:p>
      <w:pPr>
        <w:ind w:left="0" w:firstLine="0"/>
        <w:rPr>
          <w:rFonts w:eastAsia="Times New Roman" w:cs="Calibri"/>
          <w:sz w:val="20"/>
          <w:szCs w:val="20"/>
          <w:lang w:eastAsia="fr-FR"/>
        </w:rPr>
      </w:pPr>
      <w:r>
        <w:rPr>
          <w:rFonts w:eastAsia="Times New Roman" w:cs="Calibri"/>
          <w:b/>
          <w:sz w:val="20"/>
          <w:szCs w:val="20"/>
          <w:lang w:eastAsia="fr-FR"/>
        </w:rPr>
        <w:t>Article 16</w:t>
      </w:r>
      <w:r>
        <w:rPr>
          <w:rFonts w:eastAsia="Times New Roman" w:cs="Calibri"/>
          <w:sz w:val="20"/>
          <w:szCs w:val="20"/>
          <w:lang w:eastAsia="fr-FR"/>
        </w:rPr>
        <w:t xml:space="preserve"> – Les points à l’ordre du jour sont discutés selon l’ordre précisé par celui-ci, à moins que le président n’en décide autrement. En cas d’urgence, le président peut soumettre des points non-inscrits à l’ordre du jour.</w:t>
      </w:r>
    </w:p>
    <w:p>
      <w:pPr>
        <w:ind w:left="0" w:firstLine="0"/>
        <w:rPr>
          <w:rFonts w:eastAsia="Times New Roman" w:cs="Calibri"/>
          <w:sz w:val="20"/>
          <w:szCs w:val="20"/>
          <w:lang w:eastAsia="fr-FR"/>
        </w:rPr>
      </w:pPr>
      <w:r>
        <w:rPr>
          <w:rFonts w:eastAsia="Times New Roman" w:cs="Calibri"/>
          <w:b/>
          <w:sz w:val="20"/>
          <w:szCs w:val="20"/>
          <w:lang w:eastAsia="fr-FR"/>
        </w:rPr>
        <w:t>Article 17</w:t>
      </w:r>
      <w:r>
        <w:rPr>
          <w:rFonts w:eastAsia="Times New Roman" w:cs="Calibri"/>
          <w:sz w:val="20"/>
          <w:szCs w:val="20"/>
          <w:lang w:eastAsia="fr-FR"/>
        </w:rPr>
        <w:t xml:space="preserve"> – Le délai de convocation peut être raccourci si l’urgence des sujets à aborder l’exige. L’urgence doit être motivée dans la convocation.</w:t>
      </w:r>
    </w:p>
    <w:p>
      <w:pPr>
        <w:ind w:left="0" w:firstLine="0"/>
        <w:rPr>
          <w:rFonts w:eastAsia="Times New Roman" w:cs="Calibri"/>
          <w:sz w:val="20"/>
          <w:szCs w:val="20"/>
          <w:lang w:eastAsia="fr-FR"/>
        </w:rPr>
      </w:pPr>
      <w:r>
        <w:rPr>
          <w:rFonts w:eastAsia="Times New Roman" w:cs="Calibri"/>
          <w:b/>
          <w:sz w:val="20"/>
          <w:szCs w:val="20"/>
          <w:lang w:eastAsia="fr-FR"/>
        </w:rPr>
        <w:t>Article 18</w:t>
      </w:r>
      <w:r>
        <w:rPr>
          <w:rFonts w:eastAsia="Times New Roman" w:cs="Calibri"/>
          <w:sz w:val="20"/>
          <w:szCs w:val="20"/>
          <w:lang w:eastAsia="fr-FR"/>
        </w:rPr>
        <w:t xml:space="preserve"> – Au terme de chaque réunion du Comité, le procès-verbal est rédigé par le coordonnateur du CTA et adressé aux membres du Comité. Les membres disposent d’un délai de 15 jours ouvrables après envoi du procès-verbal pour adresser leurs remarques. Passé ce délai, les remarques ne sont plus prises en compte. Le procès-verbal est approuvé à la réunion suivante.</w:t>
      </w:r>
    </w:p>
    <w:p>
      <w:pPr>
        <w:ind w:left="0" w:firstLine="0"/>
        <w:rPr>
          <w:rFonts w:eastAsia="Times New Roman" w:cs="Calibri"/>
          <w:sz w:val="20"/>
          <w:szCs w:val="20"/>
          <w:lang w:eastAsia="fr-FR"/>
        </w:rPr>
      </w:pPr>
      <w:r>
        <w:rPr>
          <w:rFonts w:eastAsia="Times New Roman" w:cs="Calibri"/>
          <w:b/>
          <w:sz w:val="20"/>
          <w:szCs w:val="20"/>
          <w:lang w:eastAsia="fr-FR"/>
        </w:rPr>
        <w:t>Article 19</w:t>
      </w:r>
      <w:r>
        <w:rPr>
          <w:rFonts w:eastAsia="Times New Roman" w:cs="Calibri"/>
          <w:sz w:val="20"/>
          <w:szCs w:val="20"/>
          <w:lang w:eastAsia="fr-FR"/>
        </w:rPr>
        <w:t xml:space="preserve"> – Le procès-verbal de la réunion reprend au moins les points suivants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La date et le lieu de la réunion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lastRenderedPageBreak/>
        <w:t>Les membres présents et excusés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L’approbation du procès-verbal de la réunion précédente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Tous les points mis à l’ordre du jour et la suite qui leur a été réservée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Les principales interventions des membres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La validation du rapport d’activités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La situation budgétaire ;</w:t>
      </w:r>
    </w:p>
    <w:p>
      <w:pPr>
        <w:numPr>
          <w:ilvl w:val="0"/>
          <w:numId w:val="1"/>
        </w:numPr>
        <w:spacing w:after="0"/>
        <w:ind w:left="714" w:hanging="357"/>
        <w:jc w:val="left"/>
        <w:rPr>
          <w:rFonts w:eastAsia="Times New Roman" w:cs="Calibri"/>
          <w:sz w:val="20"/>
          <w:szCs w:val="20"/>
          <w:lang w:eastAsia="fr-FR"/>
        </w:rPr>
      </w:pPr>
      <w:r>
        <w:rPr>
          <w:rFonts w:eastAsia="Times New Roman" w:cs="Calibri"/>
          <w:sz w:val="20"/>
          <w:szCs w:val="20"/>
          <w:lang w:eastAsia="fr-FR"/>
        </w:rPr>
        <w:t>Remarques sur le suivi du projet (facteurs bloquants, mesures à mettre en œuvre, etc.) ;</w:t>
      </w:r>
    </w:p>
    <w:p>
      <w:pPr>
        <w:numPr>
          <w:ilvl w:val="0"/>
          <w:numId w:val="1"/>
        </w:numPr>
        <w:spacing w:after="0"/>
        <w:jc w:val="left"/>
        <w:rPr>
          <w:rFonts w:eastAsia="Times New Roman" w:cs="Calibri"/>
          <w:sz w:val="20"/>
          <w:szCs w:val="20"/>
          <w:lang w:eastAsia="fr-FR"/>
        </w:rPr>
      </w:pPr>
      <w:r>
        <w:rPr>
          <w:rFonts w:eastAsia="Times New Roman" w:cs="Calibri"/>
          <w:sz w:val="20"/>
          <w:szCs w:val="20"/>
          <w:lang w:eastAsia="fr-FR"/>
        </w:rPr>
        <w:t>Date et lieu de la prochaine réunion.</w:t>
      </w:r>
    </w:p>
    <w:p>
      <w:pPr>
        <w:ind w:left="0" w:firstLine="0"/>
        <w:rPr>
          <w:rFonts w:eastAsia="Times New Roman" w:cs="Calibri"/>
          <w:sz w:val="20"/>
          <w:szCs w:val="20"/>
          <w:lang w:eastAsia="fr-FR"/>
        </w:rPr>
      </w:pPr>
      <w:r>
        <w:rPr>
          <w:rFonts w:eastAsia="Times New Roman" w:cs="Calibri"/>
          <w:b/>
          <w:sz w:val="20"/>
          <w:szCs w:val="20"/>
          <w:lang w:eastAsia="fr-FR"/>
        </w:rPr>
        <w:t>Article 20</w:t>
      </w:r>
      <w:r>
        <w:rPr>
          <w:rFonts w:eastAsia="Times New Roman" w:cs="Calibri"/>
          <w:sz w:val="20"/>
          <w:szCs w:val="20"/>
          <w:lang w:eastAsia="fr-FR"/>
        </w:rPr>
        <w:t xml:space="preserve"> – Le président peut inviter les membres du Comité à se prononcer par procédure écrite (courrier électronique). Le cas échéant, à défaut de réponse dans un délai de 15 jours ouvrables à compter de la date de la transmission des documents, les propositions soumises à l’examen des membres du Comité sont réputées approuvées.</w:t>
      </w:r>
    </w:p>
    <w:p>
      <w:pPr>
        <w:spacing w:before="240" w:after="240"/>
        <w:ind w:left="0" w:firstLine="0"/>
        <w:rPr>
          <w:rFonts w:eastAsia="Times New Roman" w:cs="Calibri"/>
          <w:b/>
          <w:sz w:val="24"/>
          <w:szCs w:val="24"/>
          <w:lang w:eastAsia="fr-FR"/>
        </w:rPr>
      </w:pPr>
      <w:r>
        <w:rPr>
          <w:rFonts w:eastAsia="Times New Roman" w:cs="Calibri"/>
          <w:b/>
          <w:sz w:val="24"/>
          <w:szCs w:val="24"/>
          <w:lang w:eastAsia="fr-FR"/>
        </w:rPr>
        <w:t>Section 4 – Décisions</w:t>
      </w:r>
    </w:p>
    <w:p>
      <w:pPr>
        <w:ind w:left="0" w:firstLine="0"/>
        <w:rPr>
          <w:rFonts w:eastAsia="Times New Roman" w:cs="Calibri"/>
          <w:sz w:val="20"/>
          <w:szCs w:val="20"/>
          <w:lang w:eastAsia="fr-FR"/>
        </w:rPr>
      </w:pPr>
      <w:r>
        <w:rPr>
          <w:rFonts w:eastAsia="Times New Roman" w:cs="Calibri"/>
          <w:b/>
          <w:sz w:val="20"/>
          <w:szCs w:val="20"/>
          <w:lang w:eastAsia="fr-FR"/>
        </w:rPr>
        <w:t>Article 21</w:t>
      </w:r>
      <w:r>
        <w:rPr>
          <w:rFonts w:eastAsia="Times New Roman" w:cs="Calibri"/>
          <w:sz w:val="20"/>
          <w:szCs w:val="20"/>
          <w:lang w:eastAsia="fr-FR"/>
        </w:rPr>
        <w:t xml:space="preserve"> – Les membres effectifs visés à l’article 4 du présent règlement, en ce compris le représentant du Ministre ayant l’enseignement obligatoire dans ses attributions, disposent chacun d’une voix délibérative.</w:t>
      </w:r>
    </w:p>
    <w:p>
      <w:pPr>
        <w:ind w:left="0" w:firstLine="0"/>
        <w:rPr>
          <w:rFonts w:eastAsia="Times New Roman" w:cs="Calibri"/>
          <w:sz w:val="20"/>
          <w:szCs w:val="20"/>
          <w:lang w:eastAsia="fr-FR"/>
        </w:rPr>
      </w:pPr>
      <w:r>
        <w:rPr>
          <w:rFonts w:eastAsia="Times New Roman" w:cs="Calibri"/>
          <w:b/>
          <w:sz w:val="20"/>
          <w:szCs w:val="20"/>
          <w:lang w:eastAsia="fr-FR"/>
        </w:rPr>
        <w:t>Article 22</w:t>
      </w:r>
      <w:r>
        <w:rPr>
          <w:rFonts w:eastAsia="Times New Roman" w:cs="Calibri"/>
          <w:sz w:val="20"/>
          <w:szCs w:val="20"/>
          <w:lang w:eastAsia="fr-FR"/>
        </w:rPr>
        <w:t xml:space="preserve"> – Le Comité ne peut prendre de décision que si un quorum des deux tiers des membres effectifs ayant voix délibérative est présent ou représenté via procuration. A défaut, le Comité est à nouveau convoqué selon les modalités prévues dans les dispositions qui précèdent et a pouvoir de décision sans qu’aucun quorum de présences ne soit requis.</w:t>
      </w:r>
    </w:p>
    <w:p>
      <w:pPr>
        <w:ind w:left="0" w:firstLine="0"/>
        <w:rPr>
          <w:rFonts w:eastAsia="Times New Roman" w:cs="Calibri"/>
          <w:sz w:val="20"/>
          <w:szCs w:val="20"/>
          <w:lang w:eastAsia="fr-FR"/>
        </w:rPr>
      </w:pPr>
      <w:r>
        <w:rPr>
          <w:rFonts w:eastAsia="Times New Roman" w:cs="Calibri"/>
          <w:b/>
          <w:sz w:val="20"/>
          <w:szCs w:val="20"/>
          <w:lang w:eastAsia="fr-FR"/>
        </w:rPr>
        <w:t>Article 23</w:t>
      </w:r>
      <w:r>
        <w:rPr>
          <w:rFonts w:eastAsia="Times New Roman" w:cs="Calibri"/>
          <w:sz w:val="20"/>
          <w:szCs w:val="20"/>
          <w:lang w:eastAsia="fr-FR"/>
        </w:rPr>
        <w:t xml:space="preserve"> – En règle générale, un point est adopté par consensus ou, à tout le moins, à la majorité simple des membres du Comité.</w:t>
      </w:r>
    </w:p>
    <w:p>
      <w:pPr>
        <w:ind w:left="0" w:firstLine="0"/>
        <w:rPr>
          <w:rFonts w:eastAsia="Times New Roman" w:cs="Calibri"/>
          <w:sz w:val="20"/>
          <w:szCs w:val="20"/>
          <w:lang w:eastAsia="fr-FR"/>
        </w:rPr>
      </w:pPr>
      <w:r>
        <w:rPr>
          <w:rFonts w:eastAsia="Times New Roman" w:cs="Calibri"/>
          <w:b/>
          <w:sz w:val="20"/>
          <w:szCs w:val="20"/>
          <w:lang w:eastAsia="fr-FR"/>
        </w:rPr>
        <w:t>Article 24</w:t>
      </w:r>
      <w:r>
        <w:rPr>
          <w:rFonts w:eastAsia="Times New Roman" w:cs="Calibri"/>
          <w:sz w:val="20"/>
          <w:szCs w:val="20"/>
          <w:lang w:eastAsia="fr-FR"/>
        </w:rPr>
        <w:t xml:space="preserve"> – Le vote est rendu à main levée et la décision qui en découle est consignée dans le procès-verbal de la réunion.</w:t>
      </w:r>
    </w:p>
    <w:p>
      <w:pPr>
        <w:spacing w:before="240" w:after="240"/>
        <w:ind w:left="0" w:firstLine="0"/>
        <w:rPr>
          <w:rFonts w:eastAsia="Times New Roman" w:cs="Calibri"/>
          <w:b/>
          <w:sz w:val="24"/>
          <w:szCs w:val="24"/>
          <w:lang w:eastAsia="fr-FR"/>
        </w:rPr>
      </w:pPr>
      <w:r>
        <w:rPr>
          <w:rFonts w:eastAsia="Times New Roman" w:cs="Calibri"/>
          <w:b/>
          <w:sz w:val="24"/>
          <w:szCs w:val="24"/>
          <w:lang w:eastAsia="fr-FR"/>
        </w:rPr>
        <w:t>Section 5 – Déontologie et éthique</w:t>
      </w:r>
    </w:p>
    <w:p>
      <w:pPr>
        <w:ind w:left="0" w:firstLine="0"/>
        <w:rPr>
          <w:rFonts w:eastAsia="Times New Roman" w:cs="Calibri"/>
          <w:sz w:val="20"/>
          <w:szCs w:val="20"/>
          <w:lang w:eastAsia="fr-FR"/>
        </w:rPr>
      </w:pPr>
      <w:r>
        <w:rPr>
          <w:rFonts w:eastAsia="Times New Roman" w:cs="Calibri"/>
          <w:b/>
          <w:sz w:val="20"/>
          <w:szCs w:val="20"/>
          <w:lang w:eastAsia="fr-FR"/>
        </w:rPr>
        <w:t>Article 25</w:t>
      </w:r>
      <w:r>
        <w:rPr>
          <w:rFonts w:eastAsia="Times New Roman" w:cs="Calibri"/>
          <w:sz w:val="20"/>
          <w:szCs w:val="20"/>
          <w:lang w:eastAsia="fr-FR"/>
        </w:rPr>
        <w:t xml:space="preserve"> – Les membres du Comité s’expriment librement.</w:t>
      </w:r>
    </w:p>
    <w:p>
      <w:pPr>
        <w:ind w:left="0" w:firstLine="0"/>
        <w:rPr>
          <w:rFonts w:eastAsia="Times New Roman" w:cs="Calibri"/>
          <w:sz w:val="20"/>
          <w:szCs w:val="20"/>
          <w:lang w:eastAsia="fr-FR"/>
        </w:rPr>
      </w:pPr>
      <w:r>
        <w:rPr>
          <w:rFonts w:eastAsia="Times New Roman" w:cs="Calibri"/>
          <w:b/>
          <w:sz w:val="20"/>
          <w:szCs w:val="20"/>
          <w:lang w:eastAsia="fr-FR"/>
        </w:rPr>
        <w:t>Article 26</w:t>
      </w:r>
      <w:r>
        <w:rPr>
          <w:rFonts w:eastAsia="Times New Roman" w:cs="Calibri"/>
          <w:sz w:val="20"/>
          <w:szCs w:val="20"/>
          <w:lang w:eastAsia="fr-FR"/>
        </w:rPr>
        <w:t xml:space="preserve"> – Les délibérations du Comité sont confidentielles.</w:t>
      </w:r>
    </w:p>
    <w:p>
      <w:pPr>
        <w:ind w:left="0" w:firstLine="0"/>
        <w:rPr>
          <w:rFonts w:eastAsia="Times New Roman" w:cs="Calibri"/>
          <w:sz w:val="20"/>
          <w:szCs w:val="20"/>
          <w:lang w:eastAsia="fr-FR"/>
        </w:rPr>
      </w:pPr>
      <w:r>
        <w:rPr>
          <w:rFonts w:eastAsia="Times New Roman" w:cs="Calibri"/>
          <w:b/>
          <w:sz w:val="20"/>
          <w:szCs w:val="20"/>
          <w:lang w:eastAsia="fr-FR"/>
        </w:rPr>
        <w:t>Article 27</w:t>
      </w:r>
      <w:r>
        <w:rPr>
          <w:rFonts w:eastAsia="Times New Roman" w:cs="Calibri"/>
          <w:sz w:val="20"/>
          <w:szCs w:val="20"/>
          <w:lang w:eastAsia="fr-FR"/>
        </w:rPr>
        <w:t xml:space="preserve"> – En cas de violation des règles éthiques et du règlement d’ordre intérieur, le point doit être inscrit et débattu lors de la réunion suivante ou par procédure écrite.</w:t>
      </w:r>
    </w:p>
    <w:p>
      <w:pPr>
        <w:ind w:left="0" w:firstLine="0"/>
        <w:rPr>
          <w:rFonts w:eastAsia="Times New Roman" w:cs="Calibri"/>
          <w:sz w:val="20"/>
          <w:szCs w:val="20"/>
        </w:rPr>
      </w:pPr>
      <w:r>
        <w:rPr>
          <w:rFonts w:eastAsia="Times New Roman" w:cs="Calibri"/>
          <w:sz w:val="20"/>
          <w:szCs w:val="20"/>
        </w:rPr>
        <w:t>Le présent règlement a été approuvé par le comité d’accompagnement en date du : ………………</w:t>
      </w:r>
    </w:p>
    <w:p>
      <w:pPr>
        <w:ind w:left="0" w:firstLine="0"/>
        <w:jc w:val="left"/>
        <w:rPr>
          <w:rFonts w:eastAsia="Times New Roman" w:cs="Calibri"/>
          <w:lang w:eastAsia="fr-FR"/>
        </w:rPr>
      </w:pPr>
      <w:r>
        <w:rPr>
          <w:rFonts w:eastAsia="Times New Roman" w:cs="Calibri"/>
          <w:sz w:val="20"/>
          <w:szCs w:val="20"/>
          <w:lang w:eastAsia="fr-FR"/>
        </w:rPr>
        <w:t>Date et Signatures :</w:t>
      </w:r>
      <w:bookmarkStart w:id="0" w:name="_GoBack"/>
      <w:bookmarkEnd w:id="0"/>
    </w:p>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255E0"/>
    <w:multiLevelType w:val="hybridMultilevel"/>
    <w:tmpl w:val="8B3C225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3965A6-6608-40BE-918B-3CFC240B2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1366</Words>
  <Characters>7519</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2020-09-09T06:20:00Z</dcterms:created>
  <dcterms:modified xsi:type="dcterms:W3CDTF">2020-09-09T06:21:00Z</dcterms:modified>
</cp:coreProperties>
</file>